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64958B56" w:rsidR="00292979" w:rsidRDefault="002B0787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2811B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69</w:t>
          </w:r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.2020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  <w:bookmarkStart w:id="0" w:name="_GoBack"/>
      <w:bookmarkEnd w:id="0"/>
    </w:p>
    <w:p w14:paraId="082C0A17" w14:textId="77777777" w:rsidR="002C550A" w:rsidRDefault="002C550A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5E41039D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811B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SI-II.2601.69.2020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AC9A8" w14:textId="77777777" w:rsidR="002B0787" w:rsidRDefault="002B0787" w:rsidP="00292979">
      <w:r>
        <w:separator/>
      </w:r>
    </w:p>
  </w:endnote>
  <w:endnote w:type="continuationSeparator" w:id="0">
    <w:p w14:paraId="4B220B00" w14:textId="77777777" w:rsidR="002B0787" w:rsidRDefault="002B0787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925C0" w14:textId="77777777" w:rsidR="002B0787" w:rsidRDefault="002B0787" w:rsidP="00292979">
      <w:r>
        <w:separator/>
      </w:r>
    </w:p>
  </w:footnote>
  <w:footnote w:type="continuationSeparator" w:id="0">
    <w:p w14:paraId="1A5C09B4" w14:textId="77777777" w:rsidR="002B0787" w:rsidRDefault="002B0787" w:rsidP="0029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D3981"/>
    <w:rsid w:val="00117273"/>
    <w:rsid w:val="002811BA"/>
    <w:rsid w:val="00292979"/>
    <w:rsid w:val="002B0787"/>
    <w:rsid w:val="002C550A"/>
    <w:rsid w:val="002E3011"/>
    <w:rsid w:val="003F739A"/>
    <w:rsid w:val="0069021D"/>
    <w:rsid w:val="006D068F"/>
    <w:rsid w:val="007313D0"/>
    <w:rsid w:val="009C5DF4"/>
    <w:rsid w:val="009C69DB"/>
    <w:rsid w:val="00E67E52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B2CAA"/>
    <w:rsid w:val="000F341E"/>
    <w:rsid w:val="0016625D"/>
    <w:rsid w:val="001873F5"/>
    <w:rsid w:val="00D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D3F5-2D61-4E9B-9D13-D54689B0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SI-II.2601.69.2020</cp:keywords>
  <dc:description/>
  <cp:lastModifiedBy>Jakub Jakimczuk</cp:lastModifiedBy>
  <cp:revision>9</cp:revision>
  <dcterms:created xsi:type="dcterms:W3CDTF">2020-02-27T13:21:00Z</dcterms:created>
  <dcterms:modified xsi:type="dcterms:W3CDTF">2020-10-09T08:51:00Z</dcterms:modified>
</cp:coreProperties>
</file>